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76" w:rsidRDefault="00487D76" w:rsidP="00487D76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Муниципальное дошкольное образовательное учреждение</w:t>
      </w:r>
    </w:p>
    <w:p w:rsidR="00487D76" w:rsidRDefault="00487D76" w:rsidP="00487D76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«Детский сад с. Красный Яр» </w:t>
      </w:r>
    </w:p>
    <w:p w:rsidR="00487D76" w:rsidRDefault="00487D76" w:rsidP="00487D76">
      <w:pPr>
        <w:pStyle w:val="Textbody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Энгельсского</w:t>
      </w:r>
      <w:proofErr w:type="spellEnd"/>
      <w:r>
        <w:rPr>
          <w:rFonts w:cs="Times New Roman"/>
          <w:b/>
        </w:rPr>
        <w:t xml:space="preserve"> муниципального района Саратовской области</w:t>
      </w:r>
    </w:p>
    <w:p w:rsidR="00487D76" w:rsidRDefault="00487D76" w:rsidP="00487D76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413163 Саратовская область, </w:t>
      </w:r>
      <w:proofErr w:type="spellStart"/>
      <w:r>
        <w:rPr>
          <w:rFonts w:cs="Times New Roman"/>
          <w:b/>
        </w:rPr>
        <w:t>Энгельсский</w:t>
      </w:r>
      <w:proofErr w:type="spellEnd"/>
      <w:r>
        <w:rPr>
          <w:rFonts w:cs="Times New Roman"/>
          <w:b/>
        </w:rPr>
        <w:t xml:space="preserve"> район, с. Красный Яр, ул. Овсянникова, д.31</w:t>
      </w:r>
    </w:p>
    <w:p w:rsidR="00487D76" w:rsidRDefault="00487D76" w:rsidP="00487D76">
      <w:pPr>
        <w:pStyle w:val="Textbody"/>
        <w:jc w:val="center"/>
      </w:pPr>
      <w:r>
        <w:rPr>
          <w:rFonts w:cs="Times New Roman"/>
          <w:b/>
        </w:rPr>
        <w:t xml:space="preserve">тел. 8(8453) 77- 67- 96  </w:t>
      </w:r>
      <w:r>
        <w:rPr>
          <w:rFonts w:cs="Times New Roman"/>
          <w:b/>
          <w:lang w:val="en-US"/>
        </w:rPr>
        <w:t>E</w:t>
      </w:r>
      <w:r>
        <w:rPr>
          <w:rFonts w:cs="Times New Roman"/>
          <w:b/>
        </w:rPr>
        <w:t>-</w:t>
      </w:r>
      <w:r>
        <w:rPr>
          <w:rFonts w:cs="Times New Roman"/>
          <w:b/>
          <w:lang w:val="en-US"/>
        </w:rPr>
        <w:t>mail</w:t>
      </w:r>
      <w:r>
        <w:rPr>
          <w:rFonts w:cs="Times New Roman"/>
          <w:b/>
        </w:rPr>
        <w:t xml:space="preserve">: </w:t>
      </w:r>
      <w:hyperlink r:id="rId5" w:history="1">
        <w:r>
          <w:rPr>
            <w:rStyle w:val="a3"/>
            <w:rFonts w:cs="Times New Roman"/>
            <w:b/>
            <w:lang w:val="en-US"/>
          </w:rPr>
          <w:t>detcad</w:t>
        </w:r>
        <w:r>
          <w:rPr>
            <w:rStyle w:val="a3"/>
            <w:rFonts w:cs="Times New Roman"/>
            <w:b/>
          </w:rPr>
          <w:t>00@</w:t>
        </w:r>
        <w:r>
          <w:rPr>
            <w:rStyle w:val="a3"/>
            <w:rFonts w:cs="Times New Roman"/>
            <w:b/>
            <w:lang w:val="en-US"/>
          </w:rPr>
          <w:t>mail</w:t>
        </w:r>
        <w:r>
          <w:rPr>
            <w:rStyle w:val="a3"/>
            <w:rFonts w:cs="Times New Roman"/>
            <w:b/>
          </w:rPr>
          <w:t>.</w:t>
        </w:r>
        <w:r>
          <w:rPr>
            <w:rStyle w:val="a3"/>
            <w:rFonts w:cs="Times New Roman"/>
            <w:b/>
            <w:lang w:val="en-US"/>
          </w:rPr>
          <w:t>ru</w:t>
        </w:r>
      </w:hyperlink>
    </w:p>
    <w:p w:rsidR="00487D76" w:rsidRDefault="00487D76" w:rsidP="00487D76">
      <w:pPr>
        <w:pStyle w:val="Textbody"/>
        <w:jc w:val="center"/>
        <w:rPr>
          <w:rFonts w:cs="Times New Roman"/>
          <w:b/>
          <w:u w:val="single"/>
        </w:rPr>
      </w:pPr>
      <w:r>
        <w:t>_____________________________________________________________________________</w:t>
      </w:r>
    </w:p>
    <w:p w:rsidR="00487D76" w:rsidRPr="00CF6328" w:rsidRDefault="00487D76" w:rsidP="00487D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F6328"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487D76" w:rsidRPr="00CF6328" w:rsidRDefault="00487D76" w:rsidP="00487D7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 – техническое обеспечение и оснащенность образовательного процесса МДОУ «Детский сад с. Красный Яр»</w:t>
      </w:r>
    </w:p>
    <w:p w:rsidR="00487D76" w:rsidRPr="00E472B8" w:rsidRDefault="00487D76" w:rsidP="00487D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7D76" w:rsidRPr="00A017F3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развивающая среда дошкольного учреждения, работающего по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017F3">
        <w:rPr>
          <w:rFonts w:ascii="Times New Roman" w:hAnsi="Times New Roman" w:cs="Times New Roman"/>
          <w:bCs/>
          <w:sz w:val="28"/>
          <w:szCs w:val="28"/>
        </w:rPr>
        <w:t xml:space="preserve">сновной  образовательной  программе  дошкольного образования «Детский сад 2100» </w:t>
      </w:r>
      <w:r w:rsidRPr="00A017F3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A017F3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proofErr w:type="spellStart"/>
      <w:r w:rsidRPr="00A017F3">
        <w:rPr>
          <w:rFonts w:ascii="Times New Roman" w:hAnsi="Times New Roman" w:cs="Times New Roman"/>
          <w:bCs/>
          <w:sz w:val="28"/>
          <w:szCs w:val="28"/>
        </w:rPr>
        <w:t>науч</w:t>
      </w:r>
      <w:proofErr w:type="spellEnd"/>
      <w:r w:rsidRPr="00A017F3">
        <w:rPr>
          <w:rFonts w:ascii="Times New Roman" w:hAnsi="Times New Roman" w:cs="Times New Roman"/>
          <w:bCs/>
          <w:sz w:val="28"/>
          <w:szCs w:val="28"/>
        </w:rPr>
        <w:t xml:space="preserve">. ред. Д.И. </w:t>
      </w:r>
      <w:proofErr w:type="spellStart"/>
      <w:r w:rsidRPr="00A017F3">
        <w:rPr>
          <w:rFonts w:ascii="Times New Roman" w:hAnsi="Times New Roman" w:cs="Times New Roman"/>
          <w:bCs/>
          <w:sz w:val="28"/>
          <w:szCs w:val="28"/>
        </w:rPr>
        <w:t>Фельдштейна</w:t>
      </w:r>
      <w:proofErr w:type="spellEnd"/>
      <w:r w:rsidRPr="00A017F3">
        <w:rPr>
          <w:rFonts w:ascii="Times New Roman" w:hAnsi="Times New Roman" w:cs="Times New Roman"/>
          <w:bCs/>
          <w:sz w:val="28"/>
          <w:szCs w:val="28"/>
        </w:rPr>
        <w:t xml:space="preserve">. Р.Н. </w:t>
      </w:r>
      <w:proofErr w:type="spellStart"/>
      <w:r w:rsidRPr="00A017F3">
        <w:rPr>
          <w:rFonts w:ascii="Times New Roman" w:hAnsi="Times New Roman" w:cs="Times New Roman"/>
          <w:bCs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017F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87D76" w:rsidRPr="00E472B8" w:rsidRDefault="00487D76" w:rsidP="0048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условия для полноценного развития дошкольников по всем образовательным областям ФГОС в соответствии с конкретными особенностями и требованиями основной образовательной программы дошкольного образования.</w:t>
      </w:r>
    </w:p>
    <w:p w:rsidR="00487D76" w:rsidRPr="00E472B8" w:rsidRDefault="00487D76" w:rsidP="00487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87D76" w:rsidRPr="00E472B8" w:rsidRDefault="00487D76" w:rsidP="00487D76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атмосферу эмоционального комфорта</w:t>
      </w:r>
    </w:p>
    <w:p w:rsidR="00487D76" w:rsidRPr="00E472B8" w:rsidRDefault="00487D76" w:rsidP="00487D76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физического развития</w:t>
      </w:r>
    </w:p>
    <w:p w:rsidR="00487D76" w:rsidRPr="00E472B8" w:rsidRDefault="00487D76" w:rsidP="00487D76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творческого самовыражения</w:t>
      </w:r>
    </w:p>
    <w:p w:rsidR="00487D76" w:rsidRPr="00E472B8" w:rsidRDefault="00487D76" w:rsidP="00487D76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проявления познавательной активности детей</w:t>
      </w:r>
    </w:p>
    <w:p w:rsidR="00487D76" w:rsidRPr="00E472B8" w:rsidRDefault="00487D76" w:rsidP="00487D76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иллюстраций, музыки</w:t>
      </w:r>
    </w:p>
    <w:p w:rsidR="00487D76" w:rsidRPr="00E472B8" w:rsidRDefault="00487D76" w:rsidP="00487D76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участия родителей в жизни группы.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7D76" w:rsidRPr="00E472B8" w:rsidRDefault="00487D76" w:rsidP="00487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организации предметно-развивающей среды:</w:t>
      </w:r>
    </w:p>
    <w:p w:rsidR="00487D76" w:rsidRPr="00A97CC9" w:rsidRDefault="00487D76" w:rsidP="00487D76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требованиям Федерального государственного образовательного стандарта 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017F3">
        <w:rPr>
          <w:rFonts w:ascii="Times New Roman" w:hAnsi="Times New Roman" w:cs="Times New Roman"/>
          <w:bCs/>
          <w:sz w:val="28"/>
          <w:szCs w:val="28"/>
        </w:rPr>
        <w:t xml:space="preserve">сновной  образовательной  программе  дошкольного образования «Детский сад 2100» </w:t>
      </w:r>
      <w:r w:rsidRPr="00A017F3">
        <w:rPr>
          <w:rFonts w:ascii="Times New Roman" w:hAnsi="Times New Roman" w:cs="Times New Roman"/>
          <w:bCs/>
          <w:sz w:val="32"/>
          <w:szCs w:val="28"/>
        </w:rPr>
        <w:t xml:space="preserve"> </w:t>
      </w:r>
    </w:p>
    <w:p w:rsidR="00487D76" w:rsidRPr="00A97CC9" w:rsidRDefault="00487D76" w:rsidP="00487D76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возрастным особенностям и интересам детей</w:t>
      </w:r>
    </w:p>
    <w:p w:rsidR="00487D76" w:rsidRPr="00E472B8" w:rsidRDefault="00487D76" w:rsidP="00487D76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D76" w:rsidRPr="00E472B8" w:rsidRDefault="00487D76" w:rsidP="00487D76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среды для преобразований</w:t>
      </w:r>
    </w:p>
    <w:p w:rsidR="00487D76" w:rsidRPr="00E472B8" w:rsidRDefault="00487D76" w:rsidP="00487D76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Современность среды</w:t>
      </w:r>
    </w:p>
    <w:p w:rsidR="00487D76" w:rsidRPr="00E472B8" w:rsidRDefault="00487D76" w:rsidP="00487D76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Эстетика среды</w:t>
      </w:r>
    </w:p>
    <w:p w:rsidR="00487D76" w:rsidRPr="00E472B8" w:rsidRDefault="00487D76" w:rsidP="00487D76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 среды</w:t>
      </w:r>
    </w:p>
    <w:p w:rsidR="00487D76" w:rsidRPr="00E472B8" w:rsidRDefault="00487D76" w:rsidP="00487D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оснащение и оборудование, пространственная организация среды ДОУ соответствуют требованиям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база в ДОУ и предметно-развивающая среда в групповых комнатах создана с учётом требований ФГОС, обеспечивающих реализацию основной образовательной программы дошкольного образования.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воспитанников.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позволяет педагогам организовывать работу по сохранению и укреплению здоровья воспитанников, созданию положительного психологического климата в детских коллективах, а также по всестороннему развитию каждого воспитанника.</w:t>
      </w:r>
    </w:p>
    <w:p w:rsidR="00487D76" w:rsidRPr="00E472B8" w:rsidRDefault="00487D76" w:rsidP="00487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комнаты</w:t>
      </w:r>
      <w:r w:rsidRPr="00E472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 – результативной организации образовательного процесса.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комнатах пространство организовано таким образом, чтобы было достаточно места для занятий разнообразными видами деятельности. Помещения групп детского сада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воспитанников. Групповые помещения ДОУ имеют комнату для раздевания, игровую, спальную и туалетную комнаты.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Созданная с учетом возрастных особенностей воспитанников и современных требований, развивающая среда в группах формирует игровые навыки у воспитанников и способствует развитию личности. В целом она организована так, чтобы материалы и оборудование, необходимые для осуществления любой деятельности были доступны воспитанникам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учтена </w:t>
      </w:r>
      <w:proofErr w:type="spellStart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</w:t>
      </w:r>
      <w:proofErr w:type="spellEnd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воспитанника,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воспитанника.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каждой возрастной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 есть «экологические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уголки» с различными видами растений, собраны коллекции и гербарии. Имеющийся в ДОУ материал и правильная его организация способствует, таким образом, формированию у воспитанников бережного и уважительного отношения к живой природе и удовлетворению интереса детей к «братьям нашим меньшим». В подготовительных к школе группах имеется своя мини лаборатория.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воспитанников.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каждой группе имеются разные виды театров, ширмы для показа кукольного театра, игр - драматизаций, атрибуты для режиссерских игр.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группах имеются музыкальные центры, 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помогают созданию музыкальной эмоционально-насыщенной среды на занятиях и в свобо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деятельности. Ц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ентры музыкального развития воспитанников, содержащие музыкально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и пособия, детские музыкальные игры, разнообразные атрибуты.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Приемные имеют информационные стенды для родителей, постоянно действующие выставки детского творчества.</w:t>
      </w:r>
    </w:p>
    <w:p w:rsidR="00487D76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в групповых помещениях, обеспечивает реализацию основной образовательной программы 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физическому, социально-личностному, познавательно – речевому и художественно-эстетическому, а так же совместную деятельность взрослого и ребенка и свободную самостоятельную деятельность самих воспитанников.</w:t>
      </w:r>
    </w:p>
    <w:p w:rsidR="00487D76" w:rsidRPr="00596C5D" w:rsidRDefault="00487D76" w:rsidP="00487D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6C5D">
        <w:rPr>
          <w:rFonts w:ascii="Times New Roman" w:hAnsi="Times New Roman" w:cs="Times New Roman"/>
          <w:sz w:val="28"/>
          <w:szCs w:val="28"/>
        </w:rPr>
        <w:t>Для реализации задач приоритетного направления в дошкольном учреждении созданы специальные условия:</w:t>
      </w:r>
    </w:p>
    <w:p w:rsidR="00487D76" w:rsidRPr="00596C5D" w:rsidRDefault="00487D76" w:rsidP="00487D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C5D">
        <w:rPr>
          <w:rFonts w:ascii="Times New Roman" w:hAnsi="Times New Roman" w:cs="Times New Roman"/>
          <w:sz w:val="28"/>
          <w:szCs w:val="28"/>
        </w:rPr>
        <w:t>- музыкально – физкультурный зал;</w:t>
      </w:r>
    </w:p>
    <w:p w:rsidR="00487D76" w:rsidRPr="00596C5D" w:rsidRDefault="00487D76" w:rsidP="00487D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C5D">
        <w:rPr>
          <w:rFonts w:ascii="Times New Roman" w:hAnsi="Times New Roman" w:cs="Times New Roman"/>
          <w:sz w:val="28"/>
          <w:szCs w:val="28"/>
        </w:rPr>
        <w:t>- логопедический кабинет -1;</w:t>
      </w:r>
    </w:p>
    <w:p w:rsidR="00487D76" w:rsidRPr="00596C5D" w:rsidRDefault="00487D76" w:rsidP="00487D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C5D">
        <w:rPr>
          <w:rFonts w:ascii="Times New Roman" w:hAnsi="Times New Roman" w:cs="Times New Roman"/>
          <w:sz w:val="28"/>
          <w:szCs w:val="28"/>
        </w:rPr>
        <w:t>- кабинет педагога — психолога-1;</w:t>
      </w:r>
    </w:p>
    <w:p w:rsidR="00487D76" w:rsidRPr="00596C5D" w:rsidRDefault="00487D76" w:rsidP="00487D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C5D">
        <w:rPr>
          <w:rFonts w:ascii="Times New Roman" w:hAnsi="Times New Roman" w:cs="Times New Roman"/>
          <w:sz w:val="28"/>
          <w:szCs w:val="28"/>
        </w:rPr>
        <w:t>- методический кабинет – 1;</w:t>
      </w:r>
    </w:p>
    <w:p w:rsidR="00487D76" w:rsidRPr="00596C5D" w:rsidRDefault="00487D76" w:rsidP="00487D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C5D">
        <w:rPr>
          <w:rFonts w:ascii="Times New Roman" w:hAnsi="Times New Roman" w:cs="Times New Roman"/>
          <w:sz w:val="28"/>
          <w:szCs w:val="28"/>
        </w:rPr>
        <w:t>- медицинский кабинет – 1;</w:t>
      </w:r>
    </w:p>
    <w:p w:rsidR="00487D76" w:rsidRPr="00596C5D" w:rsidRDefault="00487D76" w:rsidP="00487D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C5D">
        <w:rPr>
          <w:rFonts w:ascii="Times New Roman" w:hAnsi="Times New Roman" w:cs="Times New Roman"/>
          <w:sz w:val="28"/>
          <w:szCs w:val="28"/>
        </w:rPr>
        <w:t>- мини - музей «Русская изба»</w:t>
      </w:r>
    </w:p>
    <w:p w:rsidR="00487D76" w:rsidRDefault="00487D76" w:rsidP="0048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 - физкультурный зал.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условия для полноценной двигательной деятельности воспитанников,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музыкальный зал, совмещённый с физкультурным залом.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проводятся музыкальные и физкультурные занятия, утренняя гимнастика, досуги, праздники и развлечения.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 оснащен детскими музыкальными инструментами и развивающими музыкальными играми, альбомами для слушания, фонотекой со сборниками программных произведений, музыкальных сказок, популярных детских песен. Имеется оборудование для театрализованных игр, разные виды театров, элементы костюмов для  режиссерских игр, игр-драматизаций, подобрано оснащение для разыгрывания сказок и спектаклей: ширмы для кукольного театра, костюмы,  маски, театральные атрибуты.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и координации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физкультурных и музыкальных мероприятий, зал работает по графику.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имеется оборудование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спортом (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скамейки, мячи, обручи, кегли, и т.д.) Для создания эмоционального настроя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нников в зале имеется пианино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центр, музыкальный инструмент - баян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D76" w:rsidRPr="00A04F34" w:rsidRDefault="00487D76" w:rsidP="0048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Библиотечно-информационное обеспечение образовательного процесса. </w:t>
      </w:r>
    </w:p>
    <w:p w:rsidR="00487D76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методический кабинет, в котором собрана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Творчество ДОУ есть подписные издания: «Воспитатель ДОУ», «Дошкольное воспитание»,   «Управление ДОУ»,  «Дошкольная педагогика», справочная литература.</w:t>
      </w:r>
    </w:p>
    <w:p w:rsidR="00487D76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iCs/>
          <w:spacing w:val="-6"/>
          <w:sz w:val="28"/>
          <w:szCs w:val="28"/>
        </w:rPr>
      </w:pPr>
      <w:r w:rsidRPr="00515EB2">
        <w:rPr>
          <w:rFonts w:ascii="Times New Roman" w:hAnsi="Times New Roman" w:cs="Times New Roman"/>
          <w:b/>
          <w:iCs/>
          <w:spacing w:val="-6"/>
          <w:sz w:val="28"/>
          <w:szCs w:val="28"/>
        </w:rPr>
        <w:t>Информационно-техническое обеспечение образовательного процесса</w:t>
      </w:r>
    </w:p>
    <w:p w:rsidR="00487D76" w:rsidRPr="006D587E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E">
        <w:rPr>
          <w:rFonts w:ascii="Times New Roman" w:hAnsi="Times New Roman" w:cs="Times New Roman"/>
          <w:iCs/>
          <w:spacing w:val="-6"/>
          <w:sz w:val="28"/>
          <w:szCs w:val="28"/>
        </w:rPr>
        <w:t>В ДОУ имеется;</w:t>
      </w:r>
    </w:p>
    <w:tbl>
      <w:tblPr>
        <w:tblW w:w="9203" w:type="dxa"/>
        <w:tblInd w:w="108" w:type="dxa"/>
        <w:tblLayout w:type="fixed"/>
        <w:tblLook w:val="0000"/>
      </w:tblPr>
      <w:tblGrid>
        <w:gridCol w:w="3808"/>
        <w:gridCol w:w="1616"/>
        <w:gridCol w:w="1980"/>
        <w:gridCol w:w="1799"/>
      </w:tblGrid>
      <w:tr w:rsidR="00487D76" w:rsidRPr="00627399" w:rsidTr="00F13F14">
        <w:trPr>
          <w:cantSplit/>
        </w:trPr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Перечень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Всего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center"/>
              <w:rPr>
                <w:iCs/>
                <w:spacing w:val="-6"/>
                <w:sz w:val="24"/>
              </w:rPr>
            </w:pPr>
            <w:proofErr w:type="gramStart"/>
            <w:r w:rsidRPr="00627399">
              <w:rPr>
                <w:iCs/>
                <w:spacing w:val="-6"/>
                <w:sz w:val="24"/>
              </w:rPr>
              <w:t>в том числе используемых в учебных целях</w:t>
            </w:r>
            <w:proofErr w:type="gramEnd"/>
          </w:p>
        </w:tc>
      </w:tr>
      <w:tr w:rsidR="00487D76" w:rsidRPr="00627399" w:rsidTr="00F13F14">
        <w:trPr>
          <w:cantSplit/>
        </w:trPr>
        <w:tc>
          <w:tcPr>
            <w:tcW w:w="3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76" w:rsidRPr="00627399" w:rsidRDefault="00487D76" w:rsidP="00F13F14">
            <w:pPr>
              <w:snapToGrid w:val="0"/>
              <w:jc w:val="both"/>
              <w:rPr>
                <w:iCs/>
                <w:spacing w:val="-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всего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из них доступных воспитателям</w:t>
            </w:r>
          </w:p>
        </w:tc>
      </w:tr>
      <w:tr w:rsidR="00487D76" w:rsidRPr="00627399" w:rsidTr="00F13F14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4</w:t>
            </w:r>
          </w:p>
        </w:tc>
      </w:tr>
      <w:tr w:rsidR="00487D76" w:rsidRPr="00627399" w:rsidTr="00F13F14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 xml:space="preserve">Количество персональных компьютеров – всего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 xml:space="preserve"> 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3</w:t>
            </w:r>
          </w:p>
        </w:tc>
      </w:tr>
      <w:tr w:rsidR="00487D76" w:rsidRPr="00627399" w:rsidTr="00F13F14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Доступ к сети Интернет</w:t>
            </w:r>
          </w:p>
          <w:p w:rsidR="00487D76" w:rsidRPr="00627399" w:rsidRDefault="00487D76" w:rsidP="00F13F14">
            <w:pPr>
              <w:pStyle w:val="a5"/>
              <w:jc w:val="both"/>
              <w:rPr>
                <w:iCs/>
                <w:spacing w:val="-6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1</w:t>
            </w:r>
          </w:p>
        </w:tc>
      </w:tr>
      <w:tr w:rsidR="00487D76" w:rsidRPr="00627399" w:rsidTr="00F13F14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 xml:space="preserve">Музыкальный центр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2</w:t>
            </w:r>
          </w:p>
        </w:tc>
      </w:tr>
      <w:tr w:rsidR="00487D76" w:rsidRPr="00627399" w:rsidTr="00F13F14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Принтер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3</w:t>
            </w:r>
          </w:p>
        </w:tc>
      </w:tr>
      <w:tr w:rsidR="00487D76" w:rsidRPr="00627399" w:rsidTr="00F13F14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Фотоаппарат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2</w:t>
            </w:r>
          </w:p>
        </w:tc>
      </w:tr>
      <w:tr w:rsidR="00487D76" w:rsidRPr="00627399" w:rsidTr="00F13F14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Магнитофон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 w:rsidRPr="00627399">
              <w:rPr>
                <w:iCs/>
                <w:spacing w:val="-6"/>
                <w:sz w:val="24"/>
              </w:rPr>
              <w:t>3</w:t>
            </w:r>
          </w:p>
        </w:tc>
      </w:tr>
      <w:tr w:rsidR="00487D76" w:rsidRPr="00627399" w:rsidTr="00F13F14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 xml:space="preserve">Проектор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</w:t>
            </w:r>
          </w:p>
        </w:tc>
      </w:tr>
      <w:tr w:rsidR="00487D76" w:rsidRPr="00627399" w:rsidTr="00F13F14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 xml:space="preserve">Телевизор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1</w:t>
            </w:r>
          </w:p>
        </w:tc>
      </w:tr>
      <w:tr w:rsidR="00487D76" w:rsidRPr="00627399" w:rsidTr="00F13F14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Мобильный экран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76" w:rsidRPr="00627399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6" w:rsidRDefault="00487D76" w:rsidP="00F13F14">
            <w:pPr>
              <w:pStyle w:val="a5"/>
              <w:snapToGrid w:val="0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</w:t>
            </w:r>
          </w:p>
        </w:tc>
      </w:tr>
    </w:tbl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D76" w:rsidRPr="00E472B8" w:rsidRDefault="00487D76" w:rsidP="0048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Медицинский кабинет.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лицензия на ведение медицинской деятельности, медицинский кабинет с соответствующими условиями  для работы медицинских  работников.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Медицинский кабинет и изолятор </w:t>
      </w:r>
      <w:proofErr w:type="gramStart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укомплектованы</w:t>
      </w:r>
      <w:proofErr w:type="gramEnd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  необходимым оборудованием в соответствии с Санитарными нормами и правилами.</w:t>
      </w:r>
    </w:p>
    <w:p w:rsidR="00487D76" w:rsidRPr="00E472B8" w:rsidRDefault="00487D76" w:rsidP="0048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2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питания в ДОУ.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завхозом и медицинской сестрой.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487D76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сбалансированное 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2C35">
        <w:rPr>
          <w:rFonts w:ascii="Times New Roman" w:hAnsi="Times New Roman" w:cs="Times New Roman"/>
          <w:sz w:val="28"/>
          <w:szCs w:val="28"/>
        </w:rPr>
        <w:t>5-разовое 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на каждый день составляется в соответствии с примерным десятидневным меню, разработанным на основе физиологических потребностей в пищевых веществах и норм питания воспитанников и согласованным с учреждением </w:t>
      </w:r>
      <w:proofErr w:type="spellStart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госсанэпиднадзора</w:t>
      </w:r>
      <w:proofErr w:type="spellEnd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фиксируется в документе установленной формы и утверждается заведующим ДОУ.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 пища выдается только после снятия пробы и соответствующей записи. Группы обеспечены соответствующей посудой, удобными столами. Пищеблок ДОУ оборудован моечными, стеллажами для посуды, раковиной для мытья рук, водонагревателем, контрольными весами, электроплитой с духовым (жарочным) шкафом, разделочными столами, шкафом для хлеба, шкафом для посуды, холодильником</w:t>
      </w:r>
      <w:proofErr w:type="gramStart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кладовая для хранения продуктов питания.</w:t>
      </w:r>
    </w:p>
    <w:p w:rsidR="00487D76" w:rsidRPr="00E472B8" w:rsidRDefault="00487D76" w:rsidP="0048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Прачечная ДОУ.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Прачечная оборудована стиральной машиной с полуавтоматическим управлением, имеется гладильный стол, электрический утюг.</w:t>
      </w:r>
    </w:p>
    <w:p w:rsidR="00487D76" w:rsidRPr="00E472B8" w:rsidRDefault="00487D76" w:rsidP="0048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Территория ДОУ.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ДОУ достаточна для организации прогулок и игр воспитанников на открытом воздухе. Каждая возра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стная группа имеет свой участок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Площадки обеспечены необходимым оборудованием (снаряды для развития основных видов движений).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участки имеют свои цветники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воспитанников от солнца и осадков на территории каждой групповой площадки установлены веранды. Игровые площадки оборудованы игровыми сооружениями в соответствии с возрастом: песочницами, горкам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лесенками, домиками,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На территории детского сада произрастают разнообразные породы деревьев и кустарников; разбиты цветники и клумбы, имеется огород. В теплый период года огород и цветники используются для проведения с воспитанниками наблюдений, опытно-экспериментальной работы, организации труда в природе. </w:t>
      </w:r>
    </w:p>
    <w:p w:rsidR="00487D76" w:rsidRPr="00EC78E2" w:rsidRDefault="00487D76" w:rsidP="0048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8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 В целях качественной реализации программы, расширения границ информационного поля по всем направлениям деятельности детского сада в ДОУ имеются: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Учебно-методические и дидактические материалы, информационные ресурсы.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Компьютерные технологии (использование в работе разных компьютерных программ, Интернет — сайтов, электронной почты, копировальной техники);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Периодически оформляются тематические выставки и стенды;</w:t>
      </w:r>
      <w:r w:rsidRPr="00E472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87D76" w:rsidRPr="00E472B8" w:rsidRDefault="00487D76" w:rsidP="0048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целях оказания качественной коррекционной помощи воспитанникам созданы кабинеты:</w:t>
      </w:r>
    </w:p>
    <w:p w:rsidR="00487D76" w:rsidRPr="00EC78E2" w:rsidRDefault="00487D76" w:rsidP="0048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8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Логопедический кабинет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кабинет психолога.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  методической,  детской художественной литературой и дидактическими материалами (игры, шнуровки, разрезные картинки, настольно-печатные игры, настенное зеркало, зеркала для индивидуальных занятий, сюжетные и предметные картинки, наборы картинок для работы по звукопроизношению, карточки - схемы, объясняющие правильное выполнение артикуляционных упражнений, игровой материал для развития мелкой моторики рук  (счетные палочки, бусы, косички, штампы, волшебные веревочки,  цветные деревянные палочки), схемы упражнений  по развитию мелкой моторики</w:t>
      </w:r>
      <w:proofErr w:type="gramEnd"/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рук), материалами для проведения диагностики речевого развития,  ростовой детской мебелью (столы, стулья, стулья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</w:t>
      </w: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487D76" w:rsidRPr="007D4D8C" w:rsidRDefault="00487D76" w:rsidP="0048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4D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7D4D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Обеспечение безопасности и </w:t>
      </w:r>
      <w:proofErr w:type="spellStart"/>
      <w:r w:rsidRPr="007D4D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здоровьесбережения</w:t>
      </w:r>
      <w:proofErr w:type="spellEnd"/>
      <w:r w:rsidRPr="007D4D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В ДОУ в соответствии с  требованиями основных законодательных актов РФ, ведётся  плановая работа по созданию антитеррористической и противопожарной безопасности, профилактики и предупреждению детского травматизма.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 территории ДОУ находится в рабочем  состоянии, что также  способствует безопасной организации прогулок с воспитанниками.</w:t>
      </w:r>
    </w:p>
    <w:p w:rsidR="00487D76" w:rsidRPr="00E472B8" w:rsidRDefault="00487D76" w:rsidP="00487D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полностью укомплектовано первичными средствами пожаротушения, (порошковые огнетушители), имеется гидрант, пожарные рукава – 8 шт. ДОУ оборудовано пожарной сигнализацией со звуковым оповещением.</w:t>
      </w:r>
    </w:p>
    <w:p w:rsidR="00487D76" w:rsidRPr="006C58E9" w:rsidRDefault="00487D76" w:rsidP="00487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8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Сведения о состоянии материально-технической базы ДОУ</w:t>
      </w:r>
    </w:p>
    <w:p w:rsidR="00487D76" w:rsidRPr="00E472B8" w:rsidRDefault="00487D76" w:rsidP="00487D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5"/>
        <w:gridCol w:w="4254"/>
        <w:gridCol w:w="1907"/>
      </w:tblGrid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обеспеченности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инвентарь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инвентарь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здания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</w:t>
            </w:r>
          </w:p>
        </w:tc>
      </w:tr>
    </w:tbl>
    <w:p w:rsidR="00487D76" w:rsidRPr="00E472B8" w:rsidRDefault="00487D76" w:rsidP="00487D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"/>
        <w:gridCol w:w="3825"/>
        <w:gridCol w:w="1983"/>
      </w:tblGrid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47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47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47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E47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  <w:p w:rsidR="00487D76" w:rsidRPr="00E472B8" w:rsidRDefault="00487D76" w:rsidP="00F1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обеспеченности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Pr="00996D5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Музыкальные инструменты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Картины, репродукции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Pr="00996D5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Детская литература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87D76" w:rsidRPr="00E472B8" w:rsidTr="00F13F14"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D76" w:rsidRPr="00E472B8" w:rsidRDefault="00487D76" w:rsidP="00F13F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487D76" w:rsidRDefault="00487D76" w:rsidP="00487D76">
      <w:pPr>
        <w:rPr>
          <w:rFonts w:ascii="Times New Roman" w:hAnsi="Times New Roman" w:cs="Times New Roman"/>
          <w:sz w:val="28"/>
          <w:szCs w:val="28"/>
        </w:rPr>
      </w:pPr>
    </w:p>
    <w:p w:rsidR="00487D76" w:rsidRDefault="00487D76" w:rsidP="00487D76">
      <w:pPr>
        <w:rPr>
          <w:rFonts w:ascii="Times New Roman" w:hAnsi="Times New Roman" w:cs="Times New Roman"/>
          <w:sz w:val="28"/>
          <w:szCs w:val="28"/>
        </w:rPr>
      </w:pPr>
    </w:p>
    <w:p w:rsidR="003A151E" w:rsidRDefault="003A151E"/>
    <w:sectPr w:rsidR="003A151E" w:rsidSect="007F7C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19"/>
    <w:multiLevelType w:val="multilevel"/>
    <w:tmpl w:val="BE7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A551D7"/>
    <w:multiLevelType w:val="multilevel"/>
    <w:tmpl w:val="B2FE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D76"/>
    <w:rsid w:val="003A151E"/>
    <w:rsid w:val="00487D76"/>
    <w:rsid w:val="0080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D76"/>
    <w:rPr>
      <w:color w:val="0000FF"/>
      <w:u w:val="single"/>
    </w:rPr>
  </w:style>
  <w:style w:type="paragraph" w:customStyle="1" w:styleId="Textbody">
    <w:name w:val="Text body"/>
    <w:basedOn w:val="a"/>
    <w:rsid w:val="00487D76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487D76"/>
    <w:pPr>
      <w:spacing w:after="0" w:line="240" w:lineRule="auto"/>
    </w:pPr>
  </w:style>
  <w:style w:type="paragraph" w:styleId="a5">
    <w:name w:val="Body Text"/>
    <w:basedOn w:val="a"/>
    <w:link w:val="a6"/>
    <w:rsid w:val="00487D7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87D7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ction.eks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803186/detail.aspx" TargetMode="External"/><Relationship Id="rId5" Type="http://schemas.openxmlformats.org/officeDocument/2006/relationships/hyperlink" Target="mailto:detcad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1982</Words>
  <Characters>11298</Characters>
  <Application>Microsoft Office Word</Application>
  <DocSecurity>0</DocSecurity>
  <Lines>94</Lines>
  <Paragraphs>26</Paragraphs>
  <ScaleCrop>false</ScaleCrop>
  <Company>Krokoz™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2</cp:revision>
  <dcterms:created xsi:type="dcterms:W3CDTF">2024-01-18T04:25:00Z</dcterms:created>
  <dcterms:modified xsi:type="dcterms:W3CDTF">2024-01-18T04:28:00Z</dcterms:modified>
</cp:coreProperties>
</file>